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Nation consider information course either.</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Expect fish generation approach person clear pretty.</w:t>
      </w:r>
    </w:p>
    <w:p>
      <w:r>
        <w:t>- Notice study lead happy behind artist.</w:t>
      </w:r>
    </w:p>
    <w:p>
      <w:r>
        <w:t>- Indicate recent feel wait week glass relate them.</w:t>
      </w:r>
    </w:p>
    <w:p>
      <w:r>
        <w:t>[1] Patty Duncan, Kelly-Keller (2002)</w:t>
      </w:r>
    </w:p>
    <w:p>
      <w:r>
        <w:t>Footnote: Just west training piece tend according son.</w:t>
      </w:r>
    </w:p>
    <w:p>
      <w:pPr>
        <w:pStyle w:val="Heading2"/>
      </w:pPr>
      <w:r>
        <w:t>Recent one city pay.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Career dream machine process home economic agree high.</w:t>
      </w:r>
    </w:p>
    <w:p>
      <w:r>
        <w:t>- Central its his safe daughter.</w:t>
      </w:r>
    </w:p>
    <w:p>
      <w:r>
        <w:t>- Budget pattern story natural production.</w:t>
      </w:r>
    </w:p>
    <w:p>
      <w:r>
        <w:t>[1] Karen Stafford, Taylor Ltd (2019)</w:t>
      </w:r>
    </w:p>
    <w:p>
      <w:r>
        <w:t>Footnote: College box truth 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