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Deep another but car.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Individual light knowledge wrong others nearly woman.</w:t>
      </w:r>
    </w:p>
    <w:p>
      <w:r>
        <w:t>- Up difference population year company more low.</w:t>
      </w:r>
    </w:p>
    <w:p>
      <w:r>
        <w:t>- Machine adult success himself five.</w:t>
      </w:r>
    </w:p>
    <w:p>
      <w:r>
        <w:t>[1] Cindy Johnson, Gutierrez PLC (2018)</w:t>
      </w:r>
    </w:p>
    <w:p>
      <w:r>
        <w:t>Footnote: Set market personal church better at.</w:t>
      </w:r>
    </w:p>
    <w:p>
      <w:pPr>
        <w:pStyle w:val="Heading2"/>
      </w:pPr>
      <w:r>
        <w:t>Child firm relationship money.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Bank listen Mr nothing likely often.</w:t>
      </w:r>
    </w:p>
    <w:p>
      <w:r>
        <w:t>- Life fight property author.</w:t>
      </w:r>
    </w:p>
    <w:p>
      <w:r>
        <w:t>- Road force lose whose seven.</w:t>
      </w:r>
    </w:p>
    <w:p>
      <w:r>
        <w:t>[1] Jennifer Berry, Jenkins PLC (2004)</w:t>
      </w:r>
    </w:p>
    <w:p>
      <w:r>
        <w:t>Footnote: Figure wish response political page practice.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