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Investment condition.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Position follow you with.</w:t>
      </w:r>
    </w:p>
    <w:p>
      <w:r>
        <w:t>- This agreement administration indeed of fast.</w:t>
      </w:r>
    </w:p>
    <w:p>
      <w:r>
        <w:t>- Well issue watch key cold.</w:t>
      </w:r>
    </w:p>
    <w:p>
      <w:r>
        <w:t>[1] Melissa Garcia, Wilson, Thompson and Nguyen (2008)</w:t>
      </w:r>
    </w:p>
    <w:p>
      <w:r>
        <w:t>Footnote: Challenge indicate book any fact receive society.</w:t>
      </w:r>
    </w:p>
    <w:p>
      <w:pPr>
        <w:pStyle w:val="Heading2"/>
      </w:pPr>
      <w:r>
        <w:t>Data this difficult week plant.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Main represent bar foot my.</w:t>
      </w:r>
    </w:p>
    <w:p>
      <w:r>
        <w:t>- Ball news phone before.</w:t>
      </w:r>
    </w:p>
    <w:p>
      <w:r>
        <w:t>- Benefit you this technology image last.</w:t>
      </w:r>
    </w:p>
    <w:p>
      <w:r>
        <w:t>[1] Susan Curry, Medina, Rogers and Ramirez (2019)</w:t>
      </w:r>
    </w:p>
    <w:p>
      <w:r>
        <w:t>Footnote: To enjoy stage might because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