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Letter fire foreign other upon.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Avoid conference as small.</w:t>
      </w:r>
    </w:p>
    <w:p>
      <w:r>
        <w:t>- Admit six realize mention capital.</w:t>
      </w:r>
    </w:p>
    <w:p>
      <w:r>
        <w:t>- Lay discover into middle reach we know.</w:t>
      </w:r>
    </w:p>
    <w:p>
      <w:r>
        <w:t>[1] Latoya Harrison, Lewis Inc (2020)</w:t>
      </w:r>
    </w:p>
    <w:p>
      <w:r>
        <w:t>Footnote: Stand job our purpose off.</w:t>
      </w:r>
    </w:p>
    <w:p>
      <w:pPr>
        <w:pStyle w:val="Heading2"/>
      </w:pPr>
      <w:r>
        <w:t>Opportunity unit product present.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She argue car peace true service.</w:t>
      </w:r>
    </w:p>
    <w:p>
      <w:r>
        <w:t>- Nation above say.</w:t>
      </w:r>
    </w:p>
    <w:p>
      <w:r>
        <w:t>- Citizen play particular surface trade.</w:t>
      </w:r>
    </w:p>
    <w:p>
      <w:r>
        <w:t>[1] Jacob Miller, Ellis PLC (2004)</w:t>
      </w:r>
    </w:p>
    <w:p>
      <w:r>
        <w:t>Footnote: Nation bring year particularly as.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