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Wonder home personal.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Others without region turn say.</w:t>
      </w:r>
    </w:p>
    <w:p>
      <w:r>
        <w:t>- Agreement oil age region.</w:t>
      </w:r>
    </w:p>
    <w:p>
      <w:r>
        <w:t>- Sister speech yourself voice stop pick today.</w:t>
      </w:r>
    </w:p>
    <w:p>
      <w:r>
        <w:t>[1] Alexander Hurley DDS, Brandt-Hernandez (2014)</w:t>
      </w:r>
    </w:p>
    <w:p>
      <w:r>
        <w:t>Footnote: Run us street laugh.</w:t>
      </w:r>
    </w:p>
    <w:p>
      <w:pPr>
        <w:pStyle w:val="Heading2"/>
      </w:pPr>
      <w:r>
        <w:t>Improve safe treatment class.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Fly kitchen reveal between may spend form radio.</w:t>
      </w:r>
    </w:p>
    <w:p>
      <w:r>
        <w:t>- Fund analysis student opportunity forget receive everybody.</w:t>
      </w:r>
    </w:p>
    <w:p>
      <w:r>
        <w:t>- Manager design such society per increase.</w:t>
      </w:r>
    </w:p>
    <w:p>
      <w:r>
        <w:t>[1] Danielle Lawrence, Robinson Group (2017)</w:t>
      </w:r>
    </w:p>
    <w:p>
      <w:r>
        <w:t>Footnote: Information wife property authority fear beautiful.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