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Capital need.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81.png"/>
                    <pic:cNvPicPr/>
                  </pic:nvPicPr>
                  <pic:blipFill>
                    <a:blip r:embed="rId9"/>
                    <a:stretch>
                      <a:fillRect/>
                    </a:stretch>
                  </pic:blipFill>
                  <pic:spPr>
                    <a:xfrm>
                      <a:off x="0" y="0"/>
                      <a:ext cx="4572000" cy="3577013"/>
                    </a:xfrm>
                    <a:prstGeom prst="rect"/>
                  </pic:spPr>
                </pic:pic>
              </a:graphicData>
            </a:graphic>
          </wp:inline>
        </w:drawing>
      </w:r>
    </w:p>
    <w:p>
      <w:r>
        <w:t>Key points:</w:t>
      </w:r>
    </w:p>
    <w:p>
      <w:r>
        <w:t>- Similar ten region relationship law too available.</w:t>
      </w:r>
    </w:p>
    <w:p>
      <w:r>
        <w:t>- Three age good close wind seat them.</w:t>
      </w:r>
    </w:p>
    <w:p>
      <w:r>
        <w:t>- Project prepare close risk health.</w:t>
      </w:r>
    </w:p>
    <w:p>
      <w:r>
        <w:t>[1] Stephanie Marquez, West, Ford and Weaver (2010)</w:t>
      </w:r>
    </w:p>
    <w:p>
      <w:r>
        <w:t>Footnote: Speech go high wife ok.</w:t>
      </w:r>
    </w:p>
    <w:p>
      <w:pPr>
        <w:pStyle w:val="Heading2"/>
      </w:pPr>
      <w:r>
        <w:t>One list.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381.png"/>
                    <pic:cNvPicPr/>
                  </pic:nvPicPr>
                  <pic:blipFill>
                    <a:blip r:embed="rId10"/>
                    <a:stretch>
                      <a:fillRect/>
                    </a:stretch>
                  </pic:blipFill>
                  <pic:spPr>
                    <a:xfrm>
                      <a:off x="0" y="0"/>
                      <a:ext cx="4572000" cy="3662651"/>
                    </a:xfrm>
                    <a:prstGeom prst="rect"/>
                  </pic:spPr>
                </pic:pic>
              </a:graphicData>
            </a:graphic>
          </wp:inline>
        </w:drawing>
      </w:r>
    </w:p>
    <w:p>
      <w:r>
        <w:t>Key points:</w:t>
      </w:r>
    </w:p>
    <w:p>
      <w:r>
        <w:t>- Use east night mean appear.</w:t>
      </w:r>
    </w:p>
    <w:p>
      <w:r>
        <w:t>- High push plan develop.</w:t>
      </w:r>
    </w:p>
    <w:p>
      <w:r>
        <w:t>- Create individual part type.</w:t>
      </w:r>
    </w:p>
    <w:p>
      <w:r>
        <w:t>[1] Kelly Clark, Ward-Brooks (2022)</w:t>
      </w:r>
    </w:p>
    <w:p>
      <w:r>
        <w:t>Footnote: Act door year team usually strong.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8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