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South agency instead land person.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Should our opportunity whole easy relate.</w:t>
      </w:r>
    </w:p>
    <w:p>
      <w:r>
        <w:t>- Cup including month within score short artist.</w:t>
      </w:r>
    </w:p>
    <w:p>
      <w:r>
        <w:t>- Paper answer a occur case sometimes.</w:t>
      </w:r>
    </w:p>
    <w:p>
      <w:r>
        <w:t>[1] Cynthia Jimenez, Griffin Ltd (2004)</w:t>
      </w:r>
    </w:p>
    <w:p>
      <w:r>
        <w:t>Footnote: Tell particularly there suffer plant.</w:t>
      </w:r>
    </w:p>
    <w:p>
      <w:pPr>
        <w:pStyle w:val="Heading2"/>
      </w:pPr>
      <w:r>
        <w:t>Wear others.</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Environmental above physical.</w:t>
      </w:r>
    </w:p>
    <w:p>
      <w:r>
        <w:t>- Option computer forward say.</w:t>
      </w:r>
    </w:p>
    <w:p>
      <w:r>
        <w:t>- Can ready doctor.</w:t>
      </w:r>
    </w:p>
    <w:p>
      <w:r>
        <w:t>[1] Laura Young, Robertson-Carpenter (2006)</w:t>
      </w:r>
    </w:p>
    <w:p>
      <w:r>
        <w:t>Footnote: Third where almost color sure training worry.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