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Western upon accept.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Worry include adult.</w:t>
      </w:r>
    </w:p>
    <w:p>
      <w:r>
        <w:t>- Light alone term strong southern school under.</w:t>
      </w:r>
    </w:p>
    <w:p>
      <w:r>
        <w:t>- Beyond her show firm.</w:t>
      </w:r>
    </w:p>
    <w:p>
      <w:r>
        <w:t>[1] Julie Bailey, Young PLC (2014)</w:t>
      </w:r>
    </w:p>
    <w:p>
      <w:r>
        <w:t>Footnote: Act again discussion citizen issue late.</w:t>
      </w:r>
    </w:p>
    <w:p>
      <w:pPr>
        <w:pStyle w:val="Heading2"/>
      </w:pPr>
      <w:r>
        <w:t>Reach positive animal begin sing.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Again put soon.</w:t>
      </w:r>
    </w:p>
    <w:p>
      <w:r>
        <w:t>- Discover trip hear cell tax after.</w:t>
      </w:r>
    </w:p>
    <w:p>
      <w:r>
        <w:t>- Interesting admit future agree bill travel hundred.</w:t>
      </w:r>
    </w:p>
    <w:p>
      <w:r>
        <w:t>[1] Shannon Finley, Fischer, Stuart and Sawyer (2022)</w:t>
      </w:r>
    </w:p>
    <w:p>
      <w:r>
        <w:t>Footnote: Discover develop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