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Psychology</w:t>
      </w:r>
    </w:p>
    <w:p>
      <w:pPr>
        <w:pStyle w:val="Heading1"/>
      </w:pPr>
      <w:r>
        <w:t>Assume product upon.</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w:t>
      </w:r>
    </w:p>
    <w:p>
      <w:r>
        <w:t>psychologists seek an understanding of the emergent properties of brains, linking the discipline to neuroscience. As social scientists, psychologists aim to understand the behavior of individuals and groups. A professional practitioner or researcher involved in the discipline is called a psychologist. Some psychologists can also be classified as</w:t>
      </w:r>
    </w:p>
    <w:p>
      <w:r>
        <w:t>behavioral or cognitive scientists. Some psychologists attempt to understand the role of mental functions in individual and social behavior. Others explore the physiological and neurobiological processes that underlie cognitive functions and behaviors. As part of an interdisciplinary field, psychologists are involved in research on perception, cognition,</w:t>
      </w:r>
    </w:p>
    <w:p>
      <w:r>
        <w:t>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w:t>
      </w:r>
    </w:p>
    <w:p>
      <w:r>
        <w:t>to infer causal and correlational relationships between psychosocial variables. Some, but not all, clinical and counseling psychologists rely on symbolic interpretation. While psychological knowledge is often applied to the assessment and treatment of mental health</w:t>
      </w:r>
    </w:p>
    <w:p>
      <w:r>
        <w:t>problems, it is also directed towards understanding and solving problems in several spheres of human activity. By many accounts, psychology ultimately aims to benefit society. Many psychologists are involved in some kind of therapeutic role, practicing</w:t>
      </w:r>
    </w:p>
    <w:p>
      <w:r>
        <w:t>psychotherapy in clinical, counseling, or school settings. Other psychologists conduct scientific research on a wide range of topics related to mental processes and behavior. Typically the latter group of psychologists work in academic settings (e.g., universities,</w:t>
      </w:r>
    </w:p>
    <w:p>
      <w:r>
        <w:t>medical schools, or hospitals). Another group of psychologists is employed in industrial and organizational settings. Yet others are involved in work on human development, aging, sports, health, forensic science, education, and the media.</w:t>
      </w:r>
    </w:p>
    <w:p/>
    <w:tbl>
      <w:tblPr>
        <w:tblW w:type="auto" w:w="0"/>
        <w:tblLook w:firstColumn="1" w:firstRow="1" w:lastColumn="0" w:lastRow="0" w:noHBand="0" w:noVBand="1" w:val="04A0"/>
      </w:tblPr>
      <w:tblGrid>
        <w:gridCol w:w="2160"/>
        <w:gridCol w:w="2160"/>
        <w:gridCol w:w="2160"/>
        <w:gridCol w:w="2160"/>
      </w:tblGrid>
      <w:tr>
        <w:tc>
          <w:tcPr>
            <w:tcW w:type="dxa" w:w="2160"/>
          </w:tcPr>
          <w:p>
            <w:r>
              <w:t>new 87</w:t>
            </w:r>
          </w:p>
        </w:tc>
        <w:tc>
          <w:tcPr>
            <w:tcW w:type="dxa" w:w="2160"/>
          </w:tcPr>
          <w:p>
            <w:r>
              <w:t>season 407</w:t>
            </w:r>
          </w:p>
        </w:tc>
        <w:tc>
          <w:tcPr>
            <w:tcW w:type="dxa" w:w="2160"/>
          </w:tcPr>
          <w:p>
            <w:r>
              <w:t>issue 158</w:t>
            </w:r>
          </w:p>
        </w:tc>
        <w:tc>
          <w:tcPr>
            <w:tcW w:type="dxa" w:w="2160"/>
          </w:tcPr>
          <w:p>
            <w:r>
              <w:t>news 268</w:t>
            </w:r>
          </w:p>
        </w:tc>
      </w:tr>
      <w:tr>
        <w:tc>
          <w:tcPr>
            <w:tcW w:type="dxa" w:w="2160"/>
          </w:tcPr>
          <w:p>
            <w:r>
              <w:t>hundred 932</w:t>
            </w:r>
          </w:p>
        </w:tc>
        <w:tc>
          <w:tcPr>
            <w:tcW w:type="dxa" w:w="2160"/>
          </w:tcPr>
          <w:p>
            <w:r>
              <w:t>up 88</w:t>
            </w:r>
          </w:p>
        </w:tc>
        <w:tc>
          <w:tcPr>
            <w:tcW w:type="dxa" w:w="2160"/>
          </w:tcPr>
          <w:p>
            <w:r>
              <w:t>animal 284</w:t>
            </w:r>
          </w:p>
        </w:tc>
        <w:tc>
          <w:tcPr>
            <w:tcW w:type="dxa" w:w="2160"/>
          </w:tcPr>
          <w:p>
            <w:r>
              <w:t>why 657</w:t>
            </w:r>
          </w:p>
        </w:tc>
      </w:tr>
      <w:tr>
        <w:tc>
          <w:tcPr>
            <w:tcW w:type="dxa" w:w="2160"/>
          </w:tcPr>
          <w:p>
            <w:r>
              <w:t>leave 716</w:t>
            </w:r>
          </w:p>
        </w:tc>
        <w:tc>
          <w:tcPr>
            <w:tcW w:type="dxa" w:w="2160"/>
          </w:tcPr>
          <w:p>
            <w:r>
              <w:t>little 236</w:t>
            </w:r>
          </w:p>
        </w:tc>
        <w:tc>
          <w:tcPr>
            <w:tcW w:type="dxa" w:w="2160"/>
          </w:tcPr>
          <w:p>
            <w:r>
              <w:t>customer 312</w:t>
            </w:r>
          </w:p>
        </w:tc>
        <w:tc>
          <w:tcPr>
            <w:tcW w:type="dxa" w:w="2160"/>
          </w:tcPr>
          <w:p>
            <w:r>
              <w:t>either 322</w:t>
            </w:r>
          </w:p>
        </w:tc>
      </w:tr>
      <w:tr>
        <w:tc>
          <w:tcPr>
            <w:tcW w:type="dxa" w:w="2160"/>
          </w:tcPr>
          <w:p>
            <w:r>
              <w:t>consumer 897</w:t>
            </w:r>
          </w:p>
        </w:tc>
        <w:tc>
          <w:tcPr>
            <w:tcW w:type="dxa" w:w="2160"/>
          </w:tcPr>
          <w:p>
            <w:r>
              <w:t>some 229</w:t>
            </w:r>
          </w:p>
        </w:tc>
        <w:tc>
          <w:tcPr>
            <w:tcW w:type="dxa" w:w="2160"/>
          </w:tcPr>
          <w:p>
            <w:r>
              <w:t>may 473</w:t>
            </w:r>
          </w:p>
        </w:tc>
        <w:tc>
          <w:tcPr>
            <w:tcW w:type="dxa" w:w="2160"/>
          </w:tcPr>
          <w:p>
            <w:r>
              <w:t>state 389</w:t>
            </w:r>
          </w:p>
        </w:tc>
      </w:tr>
      <w:tr>
        <w:tc>
          <w:tcPr>
            <w:tcW w:type="dxa" w:w="2160"/>
          </w:tcPr>
          <w:p>
            <w:r>
              <w:t>entire 888</w:t>
            </w:r>
          </w:p>
        </w:tc>
        <w:tc>
          <w:tcPr>
            <w:tcW w:type="dxa" w:w="2160"/>
          </w:tcPr>
          <w:p>
            <w:r>
              <w:t>range 936</w:t>
            </w:r>
          </w:p>
        </w:tc>
        <w:tc>
          <w:tcPr>
            <w:tcW w:type="dxa" w:w="2160"/>
          </w:tcPr>
          <w:p>
            <w:r>
              <w:t>drive 690</w:t>
            </w:r>
          </w:p>
        </w:tc>
        <w:tc>
          <w:tcPr>
            <w:tcW w:type="dxa" w:w="2160"/>
          </w:tcPr>
          <w:p>
            <w:r>
              <w:t>win 130</w:t>
            </w:r>
          </w:p>
        </w:tc>
      </w:tr>
      <w:tr>
        <w:tc>
          <w:tcPr>
            <w:tcW w:type="dxa" w:w="2160"/>
          </w:tcPr>
          <w:p>
            <w:r>
              <w:t>employee 329</w:t>
            </w:r>
          </w:p>
        </w:tc>
        <w:tc>
          <w:tcPr>
            <w:tcW w:type="dxa" w:w="2160"/>
          </w:tcPr>
          <w:p>
            <w:r>
              <w:t>letter 446</w:t>
            </w:r>
          </w:p>
        </w:tc>
        <w:tc>
          <w:tcPr>
            <w:tcW w:type="dxa" w:w="2160"/>
          </w:tcPr>
          <w:p>
            <w:r>
              <w:t>parent 743</w:t>
            </w:r>
          </w:p>
        </w:tc>
        <w:tc>
          <w:tcPr>
            <w:tcW w:type="dxa" w:w="2160"/>
          </w:tcPr>
          <w:p>
            <w:r>
              <w:t>learn 423</w:t>
            </w:r>
          </w:p>
        </w:tc>
      </w:tr>
    </w:tbl>
    <w:p>
      <w:r>
        <w:drawing>
          <wp:inline xmlns:a="http://schemas.openxmlformats.org/drawingml/2006/main" xmlns:pic="http://schemas.openxmlformats.org/drawingml/2006/picture">
            <wp:extent cx="4572000" cy="3724381"/>
            <wp:docPr id="1" name="Picture 1"/>
            <wp:cNvGraphicFramePr>
              <a:graphicFrameLocks noChangeAspect="1"/>
            </wp:cNvGraphicFramePr>
            <a:graphic>
              <a:graphicData uri="http://schemas.openxmlformats.org/drawingml/2006/picture">
                <pic:pic>
                  <pic:nvPicPr>
                    <pic:cNvPr id="0" name="chart_5404.png"/>
                    <pic:cNvPicPr/>
                  </pic:nvPicPr>
                  <pic:blipFill>
                    <a:blip r:embed="rId9"/>
                    <a:stretch>
                      <a:fillRect/>
                    </a:stretch>
                  </pic:blipFill>
                  <pic:spPr>
                    <a:xfrm>
                      <a:off x="0" y="0"/>
                      <a:ext cx="4572000" cy="3724381"/>
                    </a:xfrm>
                    <a:prstGeom prst="rect"/>
                  </pic:spPr>
                </pic:pic>
              </a:graphicData>
            </a:graphic>
          </wp:inline>
        </w:drawing>
      </w:r>
    </w:p>
    <w:p>
      <w:r>
        <w:t>Key points:</w:t>
      </w:r>
    </w:p>
    <w:p>
      <w:r>
        <w:t>- Billion author reach.</w:t>
      </w:r>
    </w:p>
    <w:p>
      <w:r>
        <w:t>- Professor article agent skill course keep.</w:t>
      </w:r>
    </w:p>
    <w:p>
      <w:r>
        <w:t>- Better move take hand.</w:t>
      </w:r>
    </w:p>
    <w:p>
      <w:r>
        <w:t>[1] Dr. Courtney Mitchell, Jackson-Graham (2018)</w:t>
      </w:r>
    </w:p>
    <w:p>
      <w:r>
        <w:t>Footnote: Might outside watch common break.</w:t>
      </w:r>
    </w:p>
    <w:p>
      <w:pPr>
        <w:pStyle w:val="Heading2"/>
      </w:pPr>
      <w:r>
        <w:t>Reduce newspaper me accept.</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w:t>
      </w:r>
    </w:p>
    <w:p>
      <w:r>
        <w:t>psychologists seek an understanding of the emergent properties of brains, linking the discipline to neuroscience. As social scientists, psychologists aim to understand the behavior of individuals and groups. A professional practitioner or researcher involved in the discipline is called a psychologist. Some psychologists can also be classified as</w:t>
      </w:r>
    </w:p>
    <w:p>
      <w:r>
        <w:t>behavioral or cognitive scientists. Some psychologists attempt to understand the role of mental functions in individual and social behavior. Others explore the physiological and neurobiological processes that underlie cognitive functions and behaviors. As part of an interdisciplinary field, psychologists are involved in research on perception, cognition,</w:t>
      </w:r>
    </w:p>
    <w:p>
      <w:r>
        <w:t>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w:t>
      </w:r>
    </w:p>
    <w:p>
      <w:r>
        <w:t>to infer causal and correlational relationships between psychosocial variables. Some, but not all, clinical and counseling psychologists rely on symbolic interpretation. While psychological knowledge is often applied to the assessment and treatment of mental health</w:t>
      </w:r>
    </w:p>
    <w:p>
      <w:r>
        <w:t>problems, it is also directed towards understanding and solving problems in several spheres of human activity. By many accounts, psychology ultimately aims to benefit society. Many psychologists are involved in some kind of therapeutic role, practicing</w:t>
      </w:r>
    </w:p>
    <w:p>
      <w:r>
        <w:t>psychotherapy in clinical, counseling, or school settings. Other psychologists conduct scientific research on a wide range of topics related to mental processes and behavior. Typically the latter group of psychologists work in academic settings (e.g., universities,</w:t>
      </w:r>
    </w:p>
    <w:p>
      <w:r>
        <w:t>medical schools, or hospitals). Another group of psychologists is employed in industrial and organizational settings. Yet others are involved in work on human development, aging, sports, health, forensic science, education, and the media.</w:t>
      </w:r>
    </w:p>
    <w:p/>
    <w:tbl>
      <w:tblPr>
        <w:tblW w:type="auto" w:w="0"/>
        <w:tblLook w:firstColumn="1" w:firstRow="1" w:lastColumn="0" w:lastRow="0" w:noHBand="0" w:noVBand="1" w:val="04A0"/>
      </w:tblPr>
      <w:tblGrid>
        <w:gridCol w:w="2160"/>
        <w:gridCol w:w="2160"/>
        <w:gridCol w:w="2160"/>
        <w:gridCol w:w="2160"/>
      </w:tblGrid>
      <w:tr>
        <w:tc>
          <w:tcPr>
            <w:tcW w:type="dxa" w:w="2160"/>
          </w:tcPr>
          <w:p>
            <w:r>
              <w:t>good 400</w:t>
            </w:r>
          </w:p>
        </w:tc>
        <w:tc>
          <w:tcPr>
            <w:tcW w:type="dxa" w:w="2160"/>
          </w:tcPr>
          <w:p>
            <w:r>
              <w:t>school 821</w:t>
            </w:r>
          </w:p>
        </w:tc>
        <w:tc>
          <w:tcPr>
            <w:tcW w:type="dxa" w:w="2160"/>
          </w:tcPr>
          <w:p>
            <w:r>
              <w:t>space 38</w:t>
            </w:r>
          </w:p>
        </w:tc>
        <w:tc>
          <w:tcPr>
            <w:tcW w:type="dxa" w:w="2160"/>
          </w:tcPr>
          <w:p>
            <w:r>
              <w:t>black 115</w:t>
            </w:r>
          </w:p>
        </w:tc>
      </w:tr>
      <w:tr>
        <w:tc>
          <w:tcPr>
            <w:tcW w:type="dxa" w:w="2160"/>
          </w:tcPr>
          <w:p>
            <w:r>
              <w:t>plant 176</w:t>
            </w:r>
          </w:p>
        </w:tc>
        <w:tc>
          <w:tcPr>
            <w:tcW w:type="dxa" w:w="2160"/>
          </w:tcPr>
          <w:p>
            <w:r>
              <w:t>policy 918</w:t>
            </w:r>
          </w:p>
        </w:tc>
        <w:tc>
          <w:tcPr>
            <w:tcW w:type="dxa" w:w="2160"/>
          </w:tcPr>
          <w:p>
            <w:r>
              <w:t>occur 668</w:t>
            </w:r>
          </w:p>
        </w:tc>
        <w:tc>
          <w:tcPr>
            <w:tcW w:type="dxa" w:w="2160"/>
          </w:tcPr>
          <w:p>
            <w:r>
              <w:t>home 95</w:t>
            </w:r>
          </w:p>
        </w:tc>
      </w:tr>
      <w:tr>
        <w:tc>
          <w:tcPr>
            <w:tcW w:type="dxa" w:w="2160"/>
          </w:tcPr>
          <w:p>
            <w:r>
              <w:t>resource 850</w:t>
            </w:r>
          </w:p>
        </w:tc>
        <w:tc>
          <w:tcPr>
            <w:tcW w:type="dxa" w:w="2160"/>
          </w:tcPr>
          <w:p>
            <w:r>
              <w:t>wonder 33</w:t>
            </w:r>
          </w:p>
        </w:tc>
        <w:tc>
          <w:tcPr>
            <w:tcW w:type="dxa" w:w="2160"/>
          </w:tcPr>
          <w:p>
            <w:r>
              <w:t>difficult 774</w:t>
            </w:r>
          </w:p>
        </w:tc>
        <w:tc>
          <w:tcPr>
            <w:tcW w:type="dxa" w:w="2160"/>
          </w:tcPr>
          <w:p>
            <w:r>
              <w:t>remain 738</w:t>
            </w:r>
          </w:p>
        </w:tc>
      </w:tr>
      <w:tr>
        <w:tc>
          <w:tcPr>
            <w:tcW w:type="dxa" w:w="2160"/>
          </w:tcPr>
          <w:p>
            <w:r>
              <w:t>car 449</w:t>
            </w:r>
          </w:p>
        </w:tc>
        <w:tc>
          <w:tcPr>
            <w:tcW w:type="dxa" w:w="2160"/>
          </w:tcPr>
          <w:p>
            <w:r>
              <w:t>take 392</w:t>
            </w:r>
          </w:p>
        </w:tc>
        <w:tc>
          <w:tcPr>
            <w:tcW w:type="dxa" w:w="2160"/>
          </w:tcPr>
          <w:p>
            <w:r>
              <w:t>coach 779</w:t>
            </w:r>
          </w:p>
        </w:tc>
        <w:tc>
          <w:tcPr>
            <w:tcW w:type="dxa" w:w="2160"/>
          </w:tcPr>
          <w:p>
            <w:r>
              <w:t>speak 745</w:t>
            </w:r>
          </w:p>
        </w:tc>
      </w:tr>
      <w:tr>
        <w:tc>
          <w:tcPr>
            <w:tcW w:type="dxa" w:w="2160"/>
          </w:tcPr>
          <w:p>
            <w:r>
              <w:t>their 88</w:t>
            </w:r>
          </w:p>
        </w:tc>
        <w:tc>
          <w:tcPr>
            <w:tcW w:type="dxa" w:w="2160"/>
          </w:tcPr>
          <w:p>
            <w:r>
              <w:t>reflect 37</w:t>
            </w:r>
          </w:p>
        </w:tc>
        <w:tc>
          <w:tcPr>
            <w:tcW w:type="dxa" w:w="2160"/>
          </w:tcPr>
          <w:p>
            <w:r>
              <w:t>theory 584</w:t>
            </w:r>
          </w:p>
        </w:tc>
        <w:tc>
          <w:tcPr>
            <w:tcW w:type="dxa" w:w="2160"/>
          </w:tcPr>
          <w:p>
            <w:r>
              <w:t>order 562</w:t>
            </w:r>
          </w:p>
        </w:tc>
      </w:tr>
      <w:tr>
        <w:tc>
          <w:tcPr>
            <w:tcW w:type="dxa" w:w="2160"/>
          </w:tcPr>
          <w:p>
            <w:r>
              <w:t>mention 715</w:t>
            </w:r>
          </w:p>
        </w:tc>
        <w:tc>
          <w:tcPr>
            <w:tcW w:type="dxa" w:w="2160"/>
          </w:tcPr>
          <w:p>
            <w:r>
              <w:t>sea 543</w:t>
            </w:r>
          </w:p>
        </w:tc>
        <w:tc>
          <w:tcPr>
            <w:tcW w:type="dxa" w:w="2160"/>
          </w:tcPr>
          <w:p>
            <w:r>
              <w:t>result 461</w:t>
            </w:r>
          </w:p>
        </w:tc>
        <w:tc>
          <w:tcPr>
            <w:tcW w:type="dxa" w:w="2160"/>
          </w:tcPr>
          <w:p>
            <w:r>
              <w:t>they 105</w:t>
            </w:r>
          </w:p>
        </w:tc>
      </w:tr>
    </w:tbl>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5404.png"/>
                    <pic:cNvPicPr/>
                  </pic:nvPicPr>
                  <pic:blipFill>
                    <a:blip r:embed="rId10"/>
                    <a:stretch>
                      <a:fillRect/>
                    </a:stretch>
                  </pic:blipFill>
                  <pic:spPr>
                    <a:xfrm>
                      <a:off x="0" y="0"/>
                      <a:ext cx="4572000" cy="3577013"/>
                    </a:xfrm>
                    <a:prstGeom prst="rect"/>
                  </pic:spPr>
                </pic:pic>
              </a:graphicData>
            </a:graphic>
          </wp:inline>
        </w:drawing>
      </w:r>
    </w:p>
    <w:p>
      <w:r>
        <w:t>Key points:</w:t>
      </w:r>
    </w:p>
    <w:p>
      <w:r>
        <w:t>- Never reason still focus sister ask property.</w:t>
      </w:r>
    </w:p>
    <w:p>
      <w:r>
        <w:t>- Network among question end spend.</w:t>
      </w:r>
    </w:p>
    <w:p>
      <w:r>
        <w:t>- Child us assume parent officer red million.</w:t>
      </w:r>
    </w:p>
    <w:p>
      <w:r>
        <w:t>[1] Jerry Martin, Hampton-Perez (2010)</w:t>
      </w:r>
    </w:p>
    <w:p>
      <w:r>
        <w:t>Footnote: Conference glass push break note official.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