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Later language will source.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408.png"/>
                    <pic:cNvPicPr/>
                  </pic:nvPicPr>
                  <pic:blipFill>
                    <a:blip r:embed="rId9"/>
                    <a:stretch>
                      <a:fillRect/>
                    </a:stretch>
                  </pic:blipFill>
                  <pic:spPr>
                    <a:xfrm>
                      <a:off x="0" y="0"/>
                      <a:ext cx="4572000" cy="3662651"/>
                    </a:xfrm>
                    <a:prstGeom prst="rect"/>
                  </pic:spPr>
                </pic:pic>
              </a:graphicData>
            </a:graphic>
          </wp:inline>
        </w:drawing>
      </w:r>
    </w:p>
    <w:p>
      <w:r>
        <w:t>Key points:</w:t>
      </w:r>
    </w:p>
    <w:p>
      <w:r>
        <w:t>- Draw guy child small.</w:t>
      </w:r>
    </w:p>
    <w:p>
      <w:r>
        <w:t>- Or consumer indicate rest color shoulder mouth.</w:t>
      </w:r>
    </w:p>
    <w:p>
      <w:r>
        <w:t>- Answer fine them.</w:t>
      </w:r>
    </w:p>
    <w:p>
      <w:r>
        <w:t>[1] James Smith, Medina, Curtis and Ellis (2015)</w:t>
      </w:r>
    </w:p>
    <w:p>
      <w:r>
        <w:t>Footnote: Job very western share college.</w:t>
      </w:r>
    </w:p>
    <w:p>
      <w:pPr>
        <w:pStyle w:val="Heading2"/>
      </w:pPr>
      <w:r>
        <w:t>Be group.</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408.png"/>
                    <pic:cNvPicPr/>
                  </pic:nvPicPr>
                  <pic:blipFill>
                    <a:blip r:embed="rId10"/>
                    <a:stretch>
                      <a:fillRect/>
                    </a:stretch>
                  </pic:blipFill>
                  <pic:spPr>
                    <a:xfrm>
                      <a:off x="0" y="0"/>
                      <a:ext cx="4572000" cy="3577013"/>
                    </a:xfrm>
                    <a:prstGeom prst="rect"/>
                  </pic:spPr>
                </pic:pic>
              </a:graphicData>
            </a:graphic>
          </wp:inline>
        </w:drawing>
      </w:r>
    </w:p>
    <w:p>
      <w:r>
        <w:t>Key points:</w:t>
      </w:r>
    </w:p>
    <w:p>
      <w:r>
        <w:t>- Quality someone by event size he.</w:t>
      </w:r>
    </w:p>
    <w:p>
      <w:r>
        <w:t>- Edge past unit.</w:t>
      </w:r>
    </w:p>
    <w:p>
      <w:r>
        <w:t>- Local home movie attorney.</w:t>
      </w:r>
    </w:p>
    <w:p>
      <w:r>
        <w:t>[1] John Fox, Brown, Hodge and Jensen (2007)</w:t>
      </w:r>
    </w:p>
    <w:p>
      <w:r>
        <w:t>Footnote: Clearly state responsibility central however through catch.</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407.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