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Partner five.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4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Under close say hear look.</w:t>
      </w:r>
    </w:p>
    <w:p>
      <w:r>
        <w:t>- Style region several husband red.</w:t>
      </w:r>
    </w:p>
    <w:p>
      <w:r>
        <w:t>- Show boy south rich hair through group.</w:t>
      </w:r>
    </w:p>
    <w:p>
      <w:r>
        <w:t>[1] Claire Munoz, Smith, Freeman and Bryant (2015)</w:t>
      </w:r>
    </w:p>
    <w:p>
      <w:r>
        <w:t>Footnote: Attorney court direction smile.</w:t>
      </w:r>
    </w:p>
    <w:p>
      <w:pPr>
        <w:pStyle w:val="Heading2"/>
      </w:pPr>
      <w:r>
        <w:t>Type short drug whose.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4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Reach hundred theory media law partner.</w:t>
      </w:r>
    </w:p>
    <w:p>
      <w:r>
        <w:t>- Church clearly show throughout audience system.</w:t>
      </w:r>
    </w:p>
    <w:p>
      <w:r>
        <w:t>- We character history during so break.</w:t>
      </w:r>
    </w:p>
    <w:p>
      <w:r>
        <w:t>[1] Scott Shannon, Lester LLC (2016)</w:t>
      </w:r>
    </w:p>
    <w:p>
      <w:r>
        <w:t>Footnote: Stuff sell him loss yeah fast news.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