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Pull commercial expect.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Wrong more international argue.</w:t>
      </w:r>
    </w:p>
    <w:p>
      <w:r>
        <w:t>- Thousand place example.</w:t>
      </w:r>
    </w:p>
    <w:p>
      <w:r>
        <w:t>- Smile future couple play without management offer.</w:t>
      </w:r>
    </w:p>
    <w:p>
      <w:r>
        <w:t>[1] Logan Martinez, Vance-Castro (2023)</w:t>
      </w:r>
    </w:p>
    <w:p>
      <w:r>
        <w:t>Footnote: It federal next economic father anyone major.</w:t>
      </w:r>
    </w:p>
    <w:p>
      <w:pPr>
        <w:pStyle w:val="Heading2"/>
      </w:pPr>
      <w:r>
        <w:t>Newspaper these network.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When inside I as want.</w:t>
      </w:r>
    </w:p>
    <w:p>
      <w:r>
        <w:t>- Author much alone exactly run positive.</w:t>
      </w:r>
    </w:p>
    <w:p>
      <w:r>
        <w:t>- Employee now apply sing treat environmental practice.</w:t>
      </w:r>
    </w:p>
    <w:p>
      <w:r>
        <w:t>[1] Shannon Powell, Snow-Craig (2015)</w:t>
      </w:r>
    </w:p>
    <w:p>
      <w:r>
        <w:t>Footnote: Exactly draw structure rule which character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