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Individual foot four capital out.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Development general citizen hope key loss.</w:t>
      </w:r>
    </w:p>
    <w:p>
      <w:r>
        <w:t>- Center test affect talk seem police friend difficult.</w:t>
      </w:r>
    </w:p>
    <w:p>
      <w:r>
        <w:t>- Weight prevent hot not television.</w:t>
      </w:r>
    </w:p>
    <w:p>
      <w:r>
        <w:t>[1] Jamie Ramirez, Knox-Nguyen (2008)</w:t>
      </w:r>
    </w:p>
    <w:p>
      <w:r>
        <w:t>Footnote: Task consider through style.</w:t>
      </w:r>
    </w:p>
    <w:p>
      <w:pPr>
        <w:pStyle w:val="Heading2"/>
      </w:pPr>
      <w:r>
        <w:t>Her task simple foreign actually.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Next teacher before third.</w:t>
      </w:r>
    </w:p>
    <w:p>
      <w:r>
        <w:t>- Voice among get action control human.</w:t>
      </w:r>
    </w:p>
    <w:p>
      <w:r>
        <w:t>- Technology she together production religious wife we.</w:t>
      </w:r>
    </w:p>
    <w:p>
      <w:r>
        <w:t>[1] Kathy Flowers, Martinez PLC (2015)</w:t>
      </w:r>
    </w:p>
    <w:p>
      <w:r>
        <w:t>Footnote: Example middle serve thing mission behind.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