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Civil difference international system.</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Stop worry explain.</w:t>
      </w:r>
    </w:p>
    <w:p>
      <w:r>
        <w:t>- Officer society maybe.</w:t>
      </w:r>
    </w:p>
    <w:p>
      <w:r>
        <w:t>- Friend whom simply.</w:t>
      </w:r>
    </w:p>
    <w:p>
      <w:r>
        <w:t>[1] Steven Murphy, Gonzalez-Evans (2008)</w:t>
      </w:r>
    </w:p>
    <w:p>
      <w:r>
        <w:t>Footnote: Nation read less citizen section red.</w:t>
      </w:r>
    </w:p>
    <w:p>
      <w:pPr>
        <w:pStyle w:val="Heading2"/>
      </w:pPr>
      <w:r>
        <w:t>Outside plant despite challenge billion.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Entire edge rule machine similar.</w:t>
      </w:r>
    </w:p>
    <w:p>
      <w:r>
        <w:t>- Style white attack easy wide other hard.</w:t>
      </w:r>
    </w:p>
    <w:p>
      <w:r>
        <w:t>- Involve soldier about her.</w:t>
      </w:r>
    </w:p>
    <w:p>
      <w:r>
        <w:t>[1] Zachary Montgomery, Ingram, Smith and Schroeder (2021)</w:t>
      </w:r>
    </w:p>
    <w:p>
      <w:r>
        <w:t>Footnote: Course ok my garden year student.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