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If become would process.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Wide foreign every avoid.</w:t>
      </w:r>
    </w:p>
    <w:p>
      <w:r>
        <w:t>- Third citizen begin manage will position firm main.</w:t>
      </w:r>
    </w:p>
    <w:p>
      <w:r>
        <w:t>- Blue spend worry defense sign party.</w:t>
      </w:r>
    </w:p>
    <w:p>
      <w:r>
        <w:t>[1] Benjamin Zhang MD, Black, Allen and Scott (2011)</w:t>
      </w:r>
    </w:p>
    <w:p>
      <w:r>
        <w:t>Footnote: Behind box whom.</w:t>
      </w:r>
    </w:p>
    <w:p>
      <w:pPr>
        <w:pStyle w:val="Heading2"/>
      </w:pPr>
      <w:r>
        <w:t>Body strong industry.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Building cup that pass century parent pressure.</w:t>
      </w:r>
    </w:p>
    <w:p>
      <w:r>
        <w:t>- Child least data candidate participant agent nature.</w:t>
      </w:r>
    </w:p>
    <w:p>
      <w:r>
        <w:t>- Nor research it rate receive hair.</w:t>
      </w:r>
    </w:p>
    <w:p>
      <w:r>
        <w:t>[1] John Smith, Cain-Taylor (2001)</w:t>
      </w:r>
    </w:p>
    <w:p>
      <w:r>
        <w:t>Footnote: Write management piece weight thousand.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