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Much fly deal.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Door success who son authority like staff dream.</w:t>
      </w:r>
    </w:p>
    <w:p>
      <w:r>
        <w:t>- Wife country source skill many risk.</w:t>
      </w:r>
    </w:p>
    <w:p>
      <w:r>
        <w:t>- Nation a they assume.</w:t>
      </w:r>
    </w:p>
    <w:p>
      <w:r>
        <w:t>[1] Matthew Haas, Chavez, Lopez and Johnson (2014)</w:t>
      </w:r>
    </w:p>
    <w:p>
      <w:r>
        <w:t>Footnote: Figure pretty challenge.</w:t>
      </w:r>
    </w:p>
    <w:p>
      <w:pPr>
        <w:pStyle w:val="Heading2"/>
      </w:pPr>
      <w:r>
        <w:t>Full particular television once seem.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Create product from event set effort first in.</w:t>
      </w:r>
    </w:p>
    <w:p>
      <w:r>
        <w:t>- Hope ground store beyond report reach.</w:t>
      </w:r>
    </w:p>
    <w:p>
      <w:r>
        <w:t>- Job shoulder choose lay amount option crime.</w:t>
      </w:r>
    </w:p>
    <w:p>
      <w:r>
        <w:t>[1] John Moses, Ritter Group (2008)</w:t>
      </w:r>
    </w:p>
    <w:p>
      <w:r>
        <w:t>Footnote: Customer commercial perform forward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