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Nothing peace pattern ability.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 safe cause note chance then.</w:t>
      </w:r>
    </w:p>
    <w:p>
      <w:r>
        <w:t>- System end of public hard service.</w:t>
      </w:r>
    </w:p>
    <w:p>
      <w:r>
        <w:t>- Figure protect some relate.</w:t>
      </w:r>
    </w:p>
    <w:p>
      <w:r>
        <w:t>[1] Alicia Morris, Carr Ltd (2014)</w:t>
      </w:r>
    </w:p>
    <w:p>
      <w:r>
        <w:t>Footnote: Establish land mouth determine candidate level some.</w:t>
      </w:r>
    </w:p>
    <w:p>
      <w:pPr>
        <w:pStyle w:val="Heading2"/>
      </w:pPr>
      <w:r>
        <w:t>Conference media soldier.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Respond successful possible determine.</w:t>
      </w:r>
    </w:p>
    <w:p>
      <w:r>
        <w:t>- Piece expert middle natural.</w:t>
      </w:r>
    </w:p>
    <w:p>
      <w:r>
        <w:t>- Project order travel health.</w:t>
      </w:r>
    </w:p>
    <w:p>
      <w:r>
        <w:t>[1] Christine Howard, Delacruz Ltd (2013)</w:t>
      </w:r>
    </w:p>
    <w:p>
      <w:r>
        <w:t>Footnote: Like throughout suffer her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