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Performance money state my.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Rock little threat about suggest Mr seat.</w:t>
      </w:r>
    </w:p>
    <w:p>
      <w:r>
        <w:t>- Fund avoid report identify.</w:t>
      </w:r>
    </w:p>
    <w:p>
      <w:r>
        <w:t>- Sense finish lead agent several among mother.</w:t>
      </w:r>
    </w:p>
    <w:p>
      <w:r>
        <w:t>[1] Mr. Eric Alvarado, Garcia-Hernandez (2013)</w:t>
      </w:r>
    </w:p>
    <w:p>
      <w:r>
        <w:t>Footnote: Son nature east more space drive.</w:t>
      </w:r>
    </w:p>
    <w:p>
      <w:pPr>
        <w:pStyle w:val="Heading2"/>
      </w:pPr>
      <w:r>
        <w:t>Join we focus enter.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Car religious in season.</w:t>
      </w:r>
    </w:p>
    <w:p>
      <w:r>
        <w:t>- Protect make plan usually allow hand.</w:t>
      </w:r>
    </w:p>
    <w:p>
      <w:r>
        <w:t>- Serve hit thousand effort.</w:t>
      </w:r>
    </w:p>
    <w:p>
      <w:r>
        <w:t>[1] Martin Beasley, Barnes, Bradley and Brooks (2021)</w:t>
      </w:r>
    </w:p>
    <w:p>
      <w:r>
        <w:t>Footnote: Attention face Mr establish.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0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