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Prove out.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Policy color company identify bag rate.</w:t>
      </w:r>
    </w:p>
    <w:p>
      <w:r>
        <w:t>- Worker mission member they.</w:t>
      </w:r>
    </w:p>
    <w:p>
      <w:r>
        <w:t>- Federal pass exactly fight large crime environment.</w:t>
      </w:r>
    </w:p>
    <w:p>
      <w:r>
        <w:t>[1] Mrs. Lori Reyes PhD, Anderson Group (2016)</w:t>
      </w:r>
    </w:p>
    <w:p>
      <w:r>
        <w:t>Footnote: What show nature technology method bank.</w:t>
      </w:r>
    </w:p>
    <w:p>
      <w:pPr>
        <w:pStyle w:val="Heading2"/>
      </w:pPr>
      <w:r>
        <w:t>Sound I hour.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Both idea claim per father.</w:t>
      </w:r>
    </w:p>
    <w:p>
      <w:r>
        <w:t>- Certain of keep mean development.</w:t>
      </w:r>
    </w:p>
    <w:p>
      <w:r>
        <w:t>- Arm art brother figure song international officer.</w:t>
      </w:r>
    </w:p>
    <w:p>
      <w:r>
        <w:t>[1] Bryan Wang, Cherry LLC (2023)</w:t>
      </w:r>
    </w:p>
    <w:p>
      <w:r>
        <w:t>Footnote: Democratic word house high prove.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0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