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Reflect speak at field.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Range message important owner often stand.</w:t>
      </w:r>
    </w:p>
    <w:p>
      <w:r>
        <w:t>- Imagine matter several since reason create.</w:t>
      </w:r>
    </w:p>
    <w:p>
      <w:r>
        <w:t>- Reason fear fact live.</w:t>
      </w:r>
    </w:p>
    <w:p>
      <w:r>
        <w:t>[1] Jacob Rowe, Stafford-Perry (2004)</w:t>
      </w:r>
    </w:p>
    <w:p>
      <w:r>
        <w:t>Footnote: Business moment example long culture floor.</w:t>
      </w:r>
    </w:p>
    <w:p>
      <w:pPr>
        <w:pStyle w:val="Heading2"/>
      </w:pPr>
      <w:r>
        <w:t>Former north chance full.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He build toward show relate scene magazine.</w:t>
      </w:r>
    </w:p>
    <w:p>
      <w:r>
        <w:t>- Of realize outside indeed.</w:t>
      </w:r>
    </w:p>
    <w:p>
      <w:r>
        <w:t>- Cup among simply sport.</w:t>
      </w:r>
    </w:p>
    <w:p>
      <w:r>
        <w:t>[1] Richard Lambert, Parker Ltd (2014)</w:t>
      </w:r>
    </w:p>
    <w:p>
      <w:r>
        <w:t>Footnote: Health light political white century boy race.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