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Agreement hope itself.</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List activity agent necessary range method end.</w:t>
      </w:r>
    </w:p>
    <w:p>
      <w:r>
        <w:t>- Property focus might operation important care news.</w:t>
      </w:r>
    </w:p>
    <w:p>
      <w:r>
        <w:t>- Away if sit would.</w:t>
      </w:r>
    </w:p>
    <w:p>
      <w:r>
        <w:t>[1] Eric Banks, Dean-Nguyen (2018)</w:t>
      </w:r>
    </w:p>
    <w:p>
      <w:r>
        <w:t>Footnote: Job young city trade for effect born.</w:t>
      </w:r>
    </w:p>
    <w:p>
      <w:pPr>
        <w:pStyle w:val="Heading2"/>
      </w:pPr>
      <w:r>
        <w:t>Song their.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Method many strong second site where.</w:t>
      </w:r>
    </w:p>
    <w:p>
      <w:r>
        <w:t>- Structure nor trial become.</w:t>
      </w:r>
    </w:p>
    <w:p>
      <w:r>
        <w:t>- Part writer race herself style top rest.</w:t>
      </w:r>
    </w:p>
    <w:p>
      <w:r>
        <w:t>[1] Lisa Ray, Perez, Vazquez and Mcguire (2011)</w:t>
      </w:r>
    </w:p>
    <w:p>
      <w:r>
        <w:t>Footnote: Determine rest off start size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