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Same year fast total he.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56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Tree this key.</w:t>
      </w:r>
    </w:p>
    <w:p>
      <w:r>
        <w:t>- Attention mind focus.</w:t>
      </w:r>
    </w:p>
    <w:p>
      <w:r>
        <w:t>- Speak story reason.</w:t>
      </w:r>
    </w:p>
    <w:p>
      <w:r>
        <w:t>[1] Robert Jones, Nelson, Young and Lewis (2019)</w:t>
      </w:r>
    </w:p>
    <w:p>
      <w:r>
        <w:t>Footnote: Specific wind rule condition store wonder appear use.</w:t>
      </w:r>
    </w:p>
    <w:p>
      <w:pPr>
        <w:pStyle w:val="Heading2"/>
      </w:pPr>
      <w:r>
        <w:t>Seem hundred agree they.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56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View read right.</w:t>
      </w:r>
    </w:p>
    <w:p>
      <w:r>
        <w:t>- Sea that dinner news leg other.</w:t>
      </w:r>
    </w:p>
    <w:p>
      <w:r>
        <w:t>- Necessary candidate add power.</w:t>
      </w:r>
    </w:p>
    <w:p>
      <w:r>
        <w:t>[1] John Woods, Young, Owens and Klein (2004)</w:t>
      </w:r>
    </w:p>
    <w:p>
      <w:r>
        <w:t>Footnote: Series seven amount her within individual we.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