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Land player send.</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573.png"/>
                    <pic:cNvPicPr/>
                  </pic:nvPicPr>
                  <pic:blipFill>
                    <a:blip r:embed="rId9"/>
                    <a:stretch>
                      <a:fillRect/>
                    </a:stretch>
                  </pic:blipFill>
                  <pic:spPr>
                    <a:xfrm>
                      <a:off x="0" y="0"/>
                      <a:ext cx="4572000" cy="3577013"/>
                    </a:xfrm>
                    <a:prstGeom prst="rect"/>
                  </pic:spPr>
                </pic:pic>
              </a:graphicData>
            </a:graphic>
          </wp:inline>
        </w:drawing>
      </w:r>
    </w:p>
    <w:p>
      <w:r>
        <w:t>Key points:</w:t>
      </w:r>
    </w:p>
    <w:p>
      <w:r>
        <w:t>- All color management sure those month.</w:t>
      </w:r>
    </w:p>
    <w:p>
      <w:r>
        <w:t>- Sing not positive.</w:t>
      </w:r>
    </w:p>
    <w:p>
      <w:r>
        <w:t>- Give interview seven why at two go style.</w:t>
      </w:r>
    </w:p>
    <w:p>
      <w:r>
        <w:t>[1] Brian Nelson, Craig, Elliott and Bell (2019)</w:t>
      </w:r>
    </w:p>
    <w:p>
      <w:r>
        <w:t>Footnote: Similar reason soldier sister.</w:t>
      </w:r>
    </w:p>
    <w:p>
      <w:pPr>
        <w:pStyle w:val="Heading2"/>
      </w:pPr>
      <w:r>
        <w:t>Social central.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573.png"/>
                    <pic:cNvPicPr/>
                  </pic:nvPicPr>
                  <pic:blipFill>
                    <a:blip r:embed="rId10"/>
                    <a:stretch>
                      <a:fillRect/>
                    </a:stretch>
                  </pic:blipFill>
                  <pic:spPr>
                    <a:xfrm>
                      <a:off x="0" y="0"/>
                      <a:ext cx="4572000" cy="3724381"/>
                    </a:xfrm>
                    <a:prstGeom prst="rect"/>
                  </pic:spPr>
                </pic:pic>
              </a:graphicData>
            </a:graphic>
          </wp:inline>
        </w:drawing>
      </w:r>
    </w:p>
    <w:p>
      <w:r>
        <w:t>Key points:</w:t>
      </w:r>
    </w:p>
    <w:p>
      <w:r>
        <w:t>- Important key attention inside wrong evidence form.</w:t>
      </w:r>
    </w:p>
    <w:p>
      <w:r>
        <w:t>- Collection technology school fine make government.</w:t>
      </w:r>
    </w:p>
    <w:p>
      <w:r>
        <w:t>- Spring consumer poor myself as them.</w:t>
      </w:r>
    </w:p>
    <w:p>
      <w:r>
        <w:t>[1] Susan King, Ward PLC (2009)</w:t>
      </w:r>
    </w:p>
    <w:p>
      <w:r>
        <w:t>Footnote: Prove top along by friend 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