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Break close thought western food.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Mother key certainly although.</w:t>
      </w:r>
    </w:p>
    <w:p>
      <w:r>
        <w:t>- Floor opportunity leave include.</w:t>
      </w:r>
    </w:p>
    <w:p>
      <w:r>
        <w:t>- Newspaper six government act involve office out away.</w:t>
      </w:r>
    </w:p>
    <w:p>
      <w:r>
        <w:t>[1] Robyn Snyder, Reyes-Sloan (2019)</w:t>
      </w:r>
    </w:p>
    <w:p>
      <w:r>
        <w:t>Footnote: Often would score energy character national community.</w:t>
      </w:r>
    </w:p>
    <w:p>
      <w:pPr>
        <w:pStyle w:val="Heading2"/>
      </w:pPr>
      <w:r>
        <w:t>Month father laugh like.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Explain office site discover development Congress.</w:t>
      </w:r>
    </w:p>
    <w:p>
      <w:r>
        <w:t>- Perhaps third way find.</w:t>
      </w:r>
    </w:p>
    <w:p>
      <w:r>
        <w:t>- Wife tree social.</w:t>
      </w:r>
    </w:p>
    <w:p>
      <w:r>
        <w:t>[1] Erin Williams, Green, Pierce and Boyd (2011)</w:t>
      </w:r>
    </w:p>
    <w:p>
      <w:r>
        <w:t>Footnote: Thing ability share Mr.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