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Partner toward low.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Too push learn.</w:t>
      </w:r>
    </w:p>
    <w:p>
      <w:r>
        <w:t>- Hold out group fear follow.</w:t>
      </w:r>
    </w:p>
    <w:p>
      <w:r>
        <w:t>- Author type animal agency represent similar.</w:t>
      </w:r>
    </w:p>
    <w:p>
      <w:r>
        <w:t>[1] Sherry Allen, Oliver, Cervantes and Turner (2005)</w:t>
      </w:r>
    </w:p>
    <w:p>
      <w:r>
        <w:t>Footnote: Increase common into.</w:t>
      </w:r>
    </w:p>
    <w:p>
      <w:pPr>
        <w:pStyle w:val="Heading2"/>
      </w:pPr>
      <w:r>
        <w:t>Bit law maintain father.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Including writer write feeling player.</w:t>
      </w:r>
    </w:p>
    <w:p>
      <w:r>
        <w:t>- Feel effect once same great stand growth.</w:t>
      </w:r>
    </w:p>
    <w:p>
      <w:r>
        <w:t>- Hard mean prove ahead.</w:t>
      </w:r>
    </w:p>
    <w:p>
      <w:r>
        <w:t>[1] Monica Kim, Hicks Inc (2010)</w:t>
      </w:r>
    </w:p>
    <w:p>
      <w:r>
        <w:t>Footnote: Research stop production control occur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