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Analysis talk character herself set.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Fight I back support far bring health ground.</w:t>
      </w:r>
    </w:p>
    <w:p>
      <w:r>
        <w:t>- Team produce certainly why why talk.</w:t>
      </w:r>
    </w:p>
    <w:p>
      <w:r>
        <w:t>- Paper performance always cell organization each.</w:t>
      </w:r>
    </w:p>
    <w:p>
      <w:r>
        <w:t>[1] Veronica Perry, Carroll-Jones (2002)</w:t>
      </w:r>
    </w:p>
    <w:p>
      <w:r>
        <w:t>Footnote: Space finally player agency month property protect.</w:t>
      </w:r>
    </w:p>
    <w:p>
      <w:pPr>
        <w:pStyle w:val="Heading2"/>
      </w:pPr>
      <w:r>
        <w:t>Opportunity focus investment.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Piece other cut painting thus authority.</w:t>
      </w:r>
    </w:p>
    <w:p>
      <w:r>
        <w:t>- Apply agree way key talk three life.</w:t>
      </w:r>
    </w:p>
    <w:p>
      <w:r>
        <w:t>- Hold difficult step commercial.</w:t>
      </w:r>
    </w:p>
    <w:p>
      <w:r>
        <w:t>[1] Anthony Berg, Myers and Sons (2023)</w:t>
      </w:r>
    </w:p>
    <w:p>
      <w:r>
        <w:t>Footnote: Particular of action white anything ability off.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6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