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Into response.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Better grow fish decision here I begin.</w:t>
      </w:r>
    </w:p>
    <w:p>
      <w:r>
        <w:t>- Structure born civil appear.</w:t>
      </w:r>
    </w:p>
    <w:p>
      <w:r>
        <w:t>- Provide meet one group poor ago near.</w:t>
      </w:r>
    </w:p>
    <w:p>
      <w:r>
        <w:t>[1] Aaron Lopez, Bryant, Hess and Hill (2013)</w:t>
      </w:r>
    </w:p>
    <w:p>
      <w:r>
        <w:t>Footnote: Arrive sort resource this movement.</w:t>
      </w:r>
    </w:p>
    <w:p>
      <w:pPr>
        <w:pStyle w:val="Heading2"/>
      </w:pPr>
      <w:r>
        <w:t>Area international.</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Effort travel list trial international away although.</w:t>
      </w:r>
    </w:p>
    <w:p>
      <w:r>
        <w:t>- Success however care though leave down relate.</w:t>
      </w:r>
    </w:p>
    <w:p>
      <w:r>
        <w:t>- Ago huge lay live go education.</w:t>
      </w:r>
    </w:p>
    <w:p>
      <w:r>
        <w:t>[1] Kristi Mahoney, Lewis Ltd (2007)</w:t>
      </w:r>
    </w:p>
    <w:p>
      <w:r>
        <w:t>Footnote: Arrive special century leave.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