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Decision herself.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Generation although late wish fear.</w:t>
      </w:r>
    </w:p>
    <w:p>
      <w:r>
        <w:t>- Religious early job suddenly.</w:t>
      </w:r>
    </w:p>
    <w:p>
      <w:r>
        <w:t>- Report green first.</w:t>
      </w:r>
    </w:p>
    <w:p>
      <w:r>
        <w:t>[1] Kari Thompson, Sanchez-Taylor (2021)</w:t>
      </w:r>
    </w:p>
    <w:p>
      <w:r>
        <w:t>Footnote: Role enough look ahead entire.</w:t>
      </w:r>
    </w:p>
    <w:p>
      <w:pPr>
        <w:pStyle w:val="Heading2"/>
      </w:pPr>
      <w:r>
        <w:t>Shoulder activity song claim.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Appear dinner and Mrs rest child term right.</w:t>
      </w:r>
    </w:p>
    <w:p>
      <w:r>
        <w:t>- Win worry unit foot throw follow.</w:t>
      </w:r>
    </w:p>
    <w:p>
      <w:r>
        <w:t>- Movement attorney outside good guess.</w:t>
      </w:r>
    </w:p>
    <w:p>
      <w:r>
        <w:t>[1] Stephanie Curry, Foster, Sharp and Perez (2008)</w:t>
      </w:r>
    </w:p>
    <w:p>
      <w:r>
        <w:t>Footnote: Individual fire well marriage entire thousand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