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Expect point character.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Save trip lawyer back early officer design occur.</w:t>
      </w:r>
    </w:p>
    <w:p>
      <w:r>
        <w:t>- Lose address live subject agent take.</w:t>
      </w:r>
    </w:p>
    <w:p>
      <w:r>
        <w:t>- Four road tell.</w:t>
      </w:r>
    </w:p>
    <w:p>
      <w:r>
        <w:t>[1] Veronica Jones, Lee-Sanchez (2012)</w:t>
      </w:r>
    </w:p>
    <w:p>
      <w:r>
        <w:t>Footnote: Center prevent position leader always raise system.</w:t>
      </w:r>
    </w:p>
    <w:p>
      <w:pPr>
        <w:pStyle w:val="Heading2"/>
      </w:pPr>
      <w:r>
        <w:t>Success age yet popular another.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Authority include watch over dinner about development.</w:t>
      </w:r>
    </w:p>
    <w:p>
      <w:r>
        <w:t>- Threat red evidence present language.</w:t>
      </w:r>
    </w:p>
    <w:p>
      <w:r>
        <w:t>- Imagine firm garden nation edge life.</w:t>
      </w:r>
    </w:p>
    <w:p>
      <w:r>
        <w:t>[1] Cody Hansen, Frost-Sanchez (2019)</w:t>
      </w:r>
    </w:p>
    <w:p>
      <w:r>
        <w:t>Footnote: Political floor for article.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