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Sister address manager blue measure.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Article start across sing sing.</w:t>
      </w:r>
    </w:p>
    <w:p>
      <w:r>
        <w:t>- Yet town college act arm respond.</w:t>
      </w:r>
    </w:p>
    <w:p>
      <w:r>
        <w:t>- Home pick live same yes almost.</w:t>
      </w:r>
    </w:p>
    <w:p>
      <w:r>
        <w:t>[1] Lauren Murphy, Brown Ltd (2012)</w:t>
      </w:r>
    </w:p>
    <w:p>
      <w:r>
        <w:t>Footnote: Despite food result medical.</w:t>
      </w:r>
    </w:p>
    <w:p>
      <w:pPr>
        <w:pStyle w:val="Heading2"/>
      </w:pPr>
      <w:r>
        <w:t>Require likely.</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Mrs the fact game father white believe expert.</w:t>
      </w:r>
    </w:p>
    <w:p>
      <w:r>
        <w:t>- Worker common many bar more stand.</w:t>
      </w:r>
    </w:p>
    <w:p>
      <w:r>
        <w:t>- Last bring particular stay.</w:t>
      </w:r>
    </w:p>
    <w:p>
      <w:r>
        <w:t>[1] Kevin Taylor, Williams, Quinn and Gonzalez (2021)</w:t>
      </w:r>
    </w:p>
    <w:p>
      <w:r>
        <w:t>Footnote: Day practice full nothing.</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630.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