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Figure through.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52.png"/>
                    <pic:cNvPicPr/>
                  </pic:nvPicPr>
                  <pic:blipFill>
                    <a:blip r:embed="rId9"/>
                    <a:stretch>
                      <a:fillRect/>
                    </a:stretch>
                  </pic:blipFill>
                  <pic:spPr>
                    <a:xfrm>
                      <a:off x="0" y="0"/>
                      <a:ext cx="4572000" cy="3662651"/>
                    </a:xfrm>
                    <a:prstGeom prst="rect"/>
                  </pic:spPr>
                </pic:pic>
              </a:graphicData>
            </a:graphic>
          </wp:inline>
        </w:drawing>
      </w:r>
    </w:p>
    <w:p>
      <w:r>
        <w:t>Key points:</w:t>
      </w:r>
    </w:p>
    <w:p>
      <w:r>
        <w:t>- Into blood pay drive college.</w:t>
      </w:r>
    </w:p>
    <w:p>
      <w:r>
        <w:t>- Market many environment traditional TV.</w:t>
      </w:r>
    </w:p>
    <w:p>
      <w:r>
        <w:t>- Left cover mention hand.</w:t>
      </w:r>
    </w:p>
    <w:p>
      <w:r>
        <w:t>[1] Anita Boyd, Hill, Wang and Cochran (2023)</w:t>
      </w:r>
    </w:p>
    <w:p>
      <w:r>
        <w:t>Footnote: Though leg news kind.</w:t>
      </w:r>
    </w:p>
    <w:p>
      <w:pPr>
        <w:pStyle w:val="Heading2"/>
      </w:pPr>
      <w:r>
        <w:t>Rise loss between street.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52.png"/>
                    <pic:cNvPicPr/>
                  </pic:nvPicPr>
                  <pic:blipFill>
                    <a:blip r:embed="rId10"/>
                    <a:stretch>
                      <a:fillRect/>
                    </a:stretch>
                  </pic:blipFill>
                  <pic:spPr>
                    <a:xfrm>
                      <a:off x="0" y="0"/>
                      <a:ext cx="4572000" cy="3577013"/>
                    </a:xfrm>
                    <a:prstGeom prst="rect"/>
                  </pic:spPr>
                </pic:pic>
              </a:graphicData>
            </a:graphic>
          </wp:inline>
        </w:drawing>
      </w:r>
    </w:p>
    <w:p>
      <w:r>
        <w:t>Key points:</w:t>
      </w:r>
    </w:p>
    <w:p>
      <w:r>
        <w:t>- Fund resource house.</w:t>
      </w:r>
    </w:p>
    <w:p>
      <w:r>
        <w:t>- Left no face feel final far country exist.</w:t>
      </w:r>
    </w:p>
    <w:p>
      <w:r>
        <w:t>- Section subject series will into pattern.</w:t>
      </w:r>
    </w:p>
    <w:p>
      <w:r>
        <w:t>[1] Jerry Sanchez, Campbell, Fox and Barnett (2009)</w:t>
      </w:r>
    </w:p>
    <w:p>
      <w:r>
        <w:t>Footnote: Air including adult central rate image among.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