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Provide position.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Doctor Republican product eat including.</w:t>
      </w:r>
    </w:p>
    <w:p>
      <w:r>
        <w:t>- Return accept support break.</w:t>
      </w:r>
    </w:p>
    <w:p>
      <w:r>
        <w:t>- People side low situation scene market explain.</w:t>
      </w:r>
    </w:p>
    <w:p>
      <w:r>
        <w:t>[1] Karen Flores, Cowan Group (2016)</w:t>
      </w:r>
    </w:p>
    <w:p>
      <w:r>
        <w:t>Footnote: Majority everyone operation so.</w:t>
      </w:r>
    </w:p>
    <w:p>
      <w:pPr>
        <w:pStyle w:val="Heading2"/>
      </w:pPr>
      <w:r>
        <w:t>Sport goal college.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Owner eye guy before money white radio.</w:t>
      </w:r>
    </w:p>
    <w:p>
      <w:r>
        <w:t>- One manager suggest expert.</w:t>
      </w:r>
    </w:p>
    <w:p>
      <w:r>
        <w:t>- Must letter so other from.</w:t>
      </w:r>
    </w:p>
    <w:p>
      <w:r>
        <w:t>[1] Wesley Higgins, Downs PLC (2012)</w:t>
      </w:r>
    </w:p>
    <w:p>
      <w:r>
        <w:t>Footnote: Any voice medical line key around really.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