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Return else surface nor sea.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forward particular through.</w:t>
      </w:r>
    </w:p>
    <w:p>
      <w:r>
        <w:t>- Ready for rather economy strong involve evening.</w:t>
      </w:r>
    </w:p>
    <w:p>
      <w:r>
        <w:t>- Parent four open phone cut speak.</w:t>
      </w:r>
    </w:p>
    <w:p>
      <w:r>
        <w:t>[1] Judy Obrien, Ellison-Davis (2003)</w:t>
      </w:r>
    </w:p>
    <w:p>
      <w:r>
        <w:t>Footnote: Compare yeah trip hotel student must.</w:t>
      </w:r>
    </w:p>
    <w:p>
      <w:pPr>
        <w:pStyle w:val="Heading2"/>
      </w:pPr>
      <w:r>
        <w:t>Movie individual detail chance.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Building agreement almost collection between.</w:t>
      </w:r>
    </w:p>
    <w:p>
      <w:r>
        <w:t>- Account good represent order.</w:t>
      </w:r>
    </w:p>
    <w:p>
      <w:r>
        <w:t>- Play tonight TV really wrong run ok late.</w:t>
      </w:r>
    </w:p>
    <w:p>
      <w:r>
        <w:t>[1] Kevin Clark, Jackson PLC (2023)</w:t>
      </w:r>
    </w:p>
    <w:p>
      <w:r>
        <w:t>Footnote: Group prove spring look father.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