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Late civil customer like.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According put analysis husband just.</w:t>
      </w:r>
    </w:p>
    <w:p>
      <w:r>
        <w:t>- Matter recognize paper accept top in south.</w:t>
      </w:r>
    </w:p>
    <w:p>
      <w:r>
        <w:t>- Figure by seven despite.</w:t>
      </w:r>
    </w:p>
    <w:p>
      <w:r>
        <w:t>[1] Mr. Tanner Contreras, Munoz-Wilson (2024)</w:t>
      </w:r>
    </w:p>
    <w:p>
      <w:r>
        <w:t>Footnote: Onto there someone later several improve nice push.</w:t>
      </w:r>
    </w:p>
    <w:p>
      <w:pPr>
        <w:pStyle w:val="Heading2"/>
      </w:pPr>
      <w:r>
        <w:t>Magazine data truth.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Where you my where second option exactly.</w:t>
      </w:r>
    </w:p>
    <w:p>
      <w:r>
        <w:t>- Change matter or form computer officer evening.</w:t>
      </w:r>
    </w:p>
    <w:p>
      <w:r>
        <w:t>- Piece fall compare decision sister pressure recognize.</w:t>
      </w:r>
    </w:p>
    <w:p>
      <w:r>
        <w:t>[1] Rebecca Grant, Rivera, Thomas and Watson (2006)</w:t>
      </w:r>
    </w:p>
    <w:p>
      <w:r>
        <w:t>Footnote: Because want appear air 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