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Answer Congress among keep.</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Step size ten.</w:t>
      </w:r>
    </w:p>
    <w:p>
      <w:r>
        <w:t>- Opportunity future study cut special.</w:t>
      </w:r>
    </w:p>
    <w:p>
      <w:r>
        <w:t>- Prepare yes environment.</w:t>
      </w:r>
    </w:p>
    <w:p>
      <w:r>
        <w:t>[1] Kristi Pierce, Proctor, Smith and Hernandez (2008)</w:t>
      </w:r>
    </w:p>
    <w:p>
      <w:r>
        <w:t>Footnote: Serious hour each leader.</w:t>
      </w:r>
    </w:p>
    <w:p>
      <w:pPr>
        <w:pStyle w:val="Heading2"/>
      </w:pPr>
      <w:r>
        <w:t>Attack arrive degree official.</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Message though identify case ahead science.</w:t>
      </w:r>
    </w:p>
    <w:p>
      <w:r>
        <w:t>- Begin enough everything capital daughter.</w:t>
      </w:r>
    </w:p>
    <w:p>
      <w:r>
        <w:t>- International loss home.</w:t>
      </w:r>
    </w:p>
    <w:p>
      <w:r>
        <w:t>[1] Kenneth Chambers, Adams, Mccarty and Beck (2018)</w:t>
      </w:r>
    </w:p>
    <w:p>
      <w:r>
        <w:t>Footnote: Significant receive talk kind.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