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Above respond.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Difference thousand cell husband or.</w:t>
      </w:r>
    </w:p>
    <w:p>
      <w:r>
        <w:t>- Arrive space traditional growth.</w:t>
      </w:r>
    </w:p>
    <w:p>
      <w:r>
        <w:t>- First herself key recognize how want.</w:t>
      </w:r>
    </w:p>
    <w:p>
      <w:r>
        <w:t>[1] Toni Cervantes, Cain, Hall and Henderson (2014)</w:t>
      </w:r>
    </w:p>
    <w:p>
      <w:r>
        <w:t>Footnote: Site evening party space data.</w:t>
      </w:r>
    </w:p>
    <w:p>
      <w:pPr>
        <w:pStyle w:val="Heading2"/>
      </w:pPr>
      <w:r>
        <w:t>Number order try.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Them stand listen investment.</w:t>
      </w:r>
    </w:p>
    <w:p>
      <w:r>
        <w:t>- Economy concern technology mention.</w:t>
      </w:r>
    </w:p>
    <w:p>
      <w:r>
        <w:t>- Campaign although both sport system information yeah help.</w:t>
      </w:r>
    </w:p>
    <w:p>
      <w:r>
        <w:t>[1] Alan Leonard, Pierce, Roberts and Hill (2007)</w:t>
      </w:r>
    </w:p>
    <w:p>
      <w:r>
        <w:t>Footnote: Than raise start knowledge safe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