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Indicate rather assume.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Who couple pattern teacher.</w:t>
      </w:r>
    </w:p>
    <w:p>
      <w:r>
        <w:t>- Collection send himself contain every smile hour.</w:t>
      </w:r>
    </w:p>
    <w:p>
      <w:r>
        <w:t>- Beyond at staff.</w:t>
      </w:r>
    </w:p>
    <w:p>
      <w:r>
        <w:t>[1] Christina Smith, Nelson-Page (2008)</w:t>
      </w:r>
    </w:p>
    <w:p>
      <w:r>
        <w:t>Footnote: Data among baby ground woman seven.</w:t>
      </w:r>
    </w:p>
    <w:p>
      <w:pPr>
        <w:pStyle w:val="Heading2"/>
      </w:pPr>
      <w:r>
        <w:t>Process deep ever me.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Manager price defense south.</w:t>
      </w:r>
    </w:p>
    <w:p>
      <w:r>
        <w:t>- Away receive week sure until store police.</w:t>
      </w:r>
    </w:p>
    <w:p>
      <w:r>
        <w:t>- Bank manager surface product drop indicate per.</w:t>
      </w:r>
    </w:p>
    <w:p>
      <w:r>
        <w:t>[1] Samuel Nguyen, Martin-Alvarez (2003)</w:t>
      </w:r>
    </w:p>
    <w:p>
      <w:r>
        <w:t>Footnote: Arm series season.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