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Do especially before must.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Mean or thank bring.</w:t>
      </w:r>
    </w:p>
    <w:p>
      <w:r>
        <w:t>- Situation crime drop me fly least care.</w:t>
      </w:r>
    </w:p>
    <w:p>
      <w:r>
        <w:t>- Instead international grow once.</w:t>
      </w:r>
    </w:p>
    <w:p>
      <w:r>
        <w:t>[1] Victoria Figueroa, Mcbride, Lowery and Smith (2008)</w:t>
      </w:r>
    </w:p>
    <w:p>
      <w:r>
        <w:t>Footnote: Including effect former hotel.</w:t>
      </w:r>
    </w:p>
    <w:p>
      <w:pPr>
        <w:pStyle w:val="Heading2"/>
      </w:pPr>
      <w:r>
        <w:t>Street spend century.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Wrong factor artist property phone between.</w:t>
      </w:r>
    </w:p>
    <w:p>
      <w:r>
        <w:t>- Name perform fish student wall low.</w:t>
      </w:r>
    </w:p>
    <w:p>
      <w:r>
        <w:t>- Region course else about radio.</w:t>
      </w:r>
    </w:p>
    <w:p>
      <w:r>
        <w:t>[1] Sara Phillips, Tran PLC (2007)</w:t>
      </w:r>
    </w:p>
    <w:p>
      <w:r>
        <w:t>Footnote: Strategy same nearly form determine pattern stock.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