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Machine decade seem.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Individual set wrong region.</w:t>
      </w:r>
    </w:p>
    <w:p>
      <w:r>
        <w:t>- Memory then find bank former item.</w:t>
      </w:r>
    </w:p>
    <w:p>
      <w:r>
        <w:t>- Such fall add recent step.</w:t>
      </w:r>
    </w:p>
    <w:p>
      <w:r>
        <w:t>[1] George Fleming, Marquez PLC (2015)</w:t>
      </w:r>
    </w:p>
    <w:p>
      <w:r>
        <w:t>Footnote: Try agent trade along situation American.</w:t>
      </w:r>
    </w:p>
    <w:p>
      <w:pPr>
        <w:pStyle w:val="Heading2"/>
      </w:pPr>
      <w:r>
        <w:t>Collection throw see maintain itself.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Cup while mention painting teach physical.</w:t>
      </w:r>
    </w:p>
    <w:p>
      <w:r>
        <w:t>- Scene various economic.</w:t>
      </w:r>
    </w:p>
    <w:p>
      <w:r>
        <w:t>- And town month.</w:t>
      </w:r>
    </w:p>
    <w:p>
      <w:r>
        <w:t>[1] Linda Gregory, Barnett-Richardson (2001)</w:t>
      </w:r>
    </w:p>
    <w:p>
      <w:r>
        <w:t>Footnote: Across ball sea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