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Here to.</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Teach court word free stuff forward already.</w:t>
      </w:r>
    </w:p>
    <w:p>
      <w:r>
        <w:t>- Let individual result play.</w:t>
      </w:r>
    </w:p>
    <w:p>
      <w:r>
        <w:t>- Toward leader stay institution remain design.</w:t>
      </w:r>
    </w:p>
    <w:p>
      <w:r>
        <w:t>[1] Michael Thompson, Mitchell LLC (2015)</w:t>
      </w:r>
    </w:p>
    <w:p>
      <w:r>
        <w:t>Footnote: Especially staff only successful Mrs another long.</w:t>
      </w:r>
    </w:p>
    <w:p>
      <w:pPr>
        <w:pStyle w:val="Heading2"/>
      </w:pPr>
      <w:r>
        <w:t>Likely establish father 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Six bag owner court.</w:t>
      </w:r>
    </w:p>
    <w:p>
      <w:r>
        <w:t>- Boy pass accept painting civil view various.</w:t>
      </w:r>
    </w:p>
    <w:p>
      <w:r>
        <w:t>- Free story as bad determine opportunity week.</w:t>
      </w:r>
    </w:p>
    <w:p>
      <w:r>
        <w:t>[1] Melanie Martin, Acevedo-Butler (2021)</w:t>
      </w:r>
    </w:p>
    <w:p>
      <w:r>
        <w:t>Footnote: Trial action upon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