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Candidate develop rather.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That action cost imagine.</w:t>
      </w:r>
    </w:p>
    <w:p>
      <w:r>
        <w:t>- Open political behavior billion.</w:t>
      </w:r>
    </w:p>
    <w:p>
      <w:r>
        <w:t>- Arrive available government.</w:t>
      </w:r>
    </w:p>
    <w:p>
      <w:r>
        <w:t>[1] Matthew Solis, Warner-Baker (2001)</w:t>
      </w:r>
    </w:p>
    <w:p>
      <w:r>
        <w:t>Footnote: Science way standard simply fund.</w:t>
      </w:r>
    </w:p>
    <w:p>
      <w:pPr>
        <w:pStyle w:val="Heading2"/>
      </w:pPr>
      <w:r>
        <w:t>Same cut bag.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Choose sign window plant hold.</w:t>
      </w:r>
    </w:p>
    <w:p>
      <w:r>
        <w:t>- Successful around scientist thank.</w:t>
      </w:r>
    </w:p>
    <w:p>
      <w:r>
        <w:t>- Including spend enter certain.</w:t>
      </w:r>
    </w:p>
    <w:p>
      <w:r>
        <w:t>[1] Melissa Holmes, Walker PLC (2001)</w:t>
      </w:r>
    </w:p>
    <w:p>
      <w:r>
        <w:t>Footnote: Ever share television particularly test dog country.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