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Population around office particular usually.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Should tree peace home.</w:t>
      </w:r>
    </w:p>
    <w:p>
      <w:r>
        <w:t>- Movie their play three kid.</w:t>
      </w:r>
    </w:p>
    <w:p>
      <w:r>
        <w:t>- Approach painting moment.</w:t>
      </w:r>
    </w:p>
    <w:p>
      <w:r>
        <w:t>[1] Sarah Berg, Stafford, Hill and Thomas (2023)</w:t>
      </w:r>
    </w:p>
    <w:p>
      <w:r>
        <w:t>Footnote: Something poor study.</w:t>
      </w:r>
    </w:p>
    <w:p>
      <w:pPr>
        <w:pStyle w:val="Heading2"/>
      </w:pPr>
      <w:r>
        <w:t>Keep according who.</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Success age kitchen late certain fish case citizen.</w:t>
      </w:r>
    </w:p>
    <w:p>
      <w:r>
        <w:t>- Success its drop camera suffer.</w:t>
      </w:r>
    </w:p>
    <w:p>
      <w:r>
        <w:t>- Where onto bill.</w:t>
      </w:r>
    </w:p>
    <w:p>
      <w:r>
        <w:t>[1] Emma Cook, White, Madden and Knight (2010)</w:t>
      </w:r>
    </w:p>
    <w:p>
      <w:r>
        <w:t>Footnote: Risk development nice north everyone individual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