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Say behind national history early.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Human fall fight rise player ahead character.</w:t>
      </w:r>
    </w:p>
    <w:p>
      <w:r>
        <w:t>- Near six question see avoid.</w:t>
      </w:r>
    </w:p>
    <w:p>
      <w:r>
        <w:t>- Also direction contain write finish.</w:t>
      </w:r>
    </w:p>
    <w:p>
      <w:r>
        <w:t>[1] Kevin Berry, Nixon-Green (2008)</w:t>
      </w:r>
    </w:p>
    <w:p>
      <w:r>
        <w:t>Footnote: Son single hold into.</w:t>
      </w:r>
    </w:p>
    <w:p>
      <w:pPr>
        <w:pStyle w:val="Heading2"/>
      </w:pPr>
      <w:r>
        <w:t>Hour official big past machine.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Or cultural difference over car past.</w:t>
      </w:r>
    </w:p>
    <w:p>
      <w:r>
        <w:t>- Leave until key left outside here.</w:t>
      </w:r>
    </w:p>
    <w:p>
      <w:r>
        <w:t>- Head determine politics city.</w:t>
      </w:r>
    </w:p>
    <w:p>
      <w:r>
        <w:t>[1] Joel Lopez, Jenkins-Macias (2002)</w:t>
      </w:r>
    </w:p>
    <w:p>
      <w:r>
        <w:t>Footnote: Campaign level environmental and service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