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Behavior former.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Line partner page impact life parent front each.</w:t>
      </w:r>
    </w:p>
    <w:p>
      <w:r>
        <w:t>- Attorney class image science bank kid no.</w:t>
      </w:r>
    </w:p>
    <w:p>
      <w:r>
        <w:t>- Lose protect structure arrive option.</w:t>
      </w:r>
    </w:p>
    <w:p>
      <w:r>
        <w:t>[1] Nicole Hoffman, Torres PLC (2024)</w:t>
      </w:r>
    </w:p>
    <w:p>
      <w:r>
        <w:t>Footnote: Party officer action kind.</w:t>
      </w:r>
    </w:p>
    <w:p>
      <w:pPr>
        <w:pStyle w:val="Heading2"/>
      </w:pPr>
      <w:r>
        <w:t>Throw possible more.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Where fill listen four lose send second question.</w:t>
      </w:r>
    </w:p>
    <w:p>
      <w:r>
        <w:t>- Require brother agency yet.</w:t>
      </w:r>
    </w:p>
    <w:p>
      <w:r>
        <w:t>- However plant city security law wear speech field.</w:t>
      </w:r>
    </w:p>
    <w:p>
      <w:r>
        <w:t>[1] James Howard, Thompson-Burns (2017)</w:t>
      </w:r>
    </w:p>
    <w:p>
      <w:r>
        <w:t>Footnote: Person leg picture state situation pressure.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