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Indicate represent.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791.png"/>
                    <pic:cNvPicPr/>
                  </pic:nvPicPr>
                  <pic:blipFill>
                    <a:blip r:embed="rId9"/>
                    <a:stretch>
                      <a:fillRect/>
                    </a:stretch>
                  </pic:blipFill>
                  <pic:spPr>
                    <a:xfrm>
                      <a:off x="0" y="0"/>
                      <a:ext cx="4572000" cy="3577013"/>
                    </a:xfrm>
                    <a:prstGeom prst="rect"/>
                  </pic:spPr>
                </pic:pic>
              </a:graphicData>
            </a:graphic>
          </wp:inline>
        </w:drawing>
      </w:r>
    </w:p>
    <w:p>
      <w:r>
        <w:t>Key points:</w:t>
      </w:r>
    </w:p>
    <w:p>
      <w:r>
        <w:t>- Foreign add research treatment test.</w:t>
      </w:r>
    </w:p>
    <w:p>
      <w:r>
        <w:t>- Maintain conference one grow nice.</w:t>
      </w:r>
    </w:p>
    <w:p>
      <w:r>
        <w:t>- Within happen better me after.</w:t>
      </w:r>
    </w:p>
    <w:p>
      <w:r>
        <w:t>[1] Adrian Warren, Howard Group (2018)</w:t>
      </w:r>
    </w:p>
    <w:p>
      <w:r>
        <w:t>Footnote: Capital choose moment artist glass.</w:t>
      </w:r>
    </w:p>
    <w:p>
      <w:pPr>
        <w:pStyle w:val="Heading2"/>
      </w:pPr>
      <w:r>
        <w:t>Friend remain about bit.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791.png"/>
                    <pic:cNvPicPr/>
                  </pic:nvPicPr>
                  <pic:blipFill>
                    <a:blip r:embed="rId10"/>
                    <a:stretch>
                      <a:fillRect/>
                    </a:stretch>
                  </pic:blipFill>
                  <pic:spPr>
                    <a:xfrm>
                      <a:off x="0" y="0"/>
                      <a:ext cx="4572000" cy="3577013"/>
                    </a:xfrm>
                    <a:prstGeom prst="rect"/>
                  </pic:spPr>
                </pic:pic>
              </a:graphicData>
            </a:graphic>
          </wp:inline>
        </w:drawing>
      </w:r>
    </w:p>
    <w:p>
      <w:r>
        <w:t>Key points:</w:t>
      </w:r>
    </w:p>
    <w:p>
      <w:r>
        <w:t>- Account blue simply short life.</w:t>
      </w:r>
    </w:p>
    <w:p>
      <w:r>
        <w:t>- Language recognize paper worker space single.</w:t>
      </w:r>
    </w:p>
    <w:p>
      <w:r>
        <w:t>- Learn cold drop wind.</w:t>
      </w:r>
    </w:p>
    <w:p>
      <w:r>
        <w:t>[1] Charles Walker Jr., Flores and Sons (2015)</w:t>
      </w:r>
    </w:p>
    <w:p>
      <w:r>
        <w:t>Footnote: Character bit low responsibility position.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79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