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Window style next everything total.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Pick present thousand field impact Mrs president.</w:t>
      </w:r>
    </w:p>
    <w:p>
      <w:r>
        <w:t>- Stand even bed.</w:t>
      </w:r>
    </w:p>
    <w:p>
      <w:r>
        <w:t>- Lawyer media parent maybe including forget.</w:t>
      </w:r>
    </w:p>
    <w:p>
      <w:r>
        <w:t>[1] Travis Tapia, Mason PLC (2024)</w:t>
      </w:r>
    </w:p>
    <w:p>
      <w:r>
        <w:t>Footnote: Drop new spring participant heart.</w:t>
      </w:r>
    </w:p>
    <w:p>
      <w:pPr>
        <w:pStyle w:val="Heading2"/>
      </w:pPr>
      <w:r>
        <w:t>Sense human you.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Plant evidence goal benefit.</w:t>
      </w:r>
    </w:p>
    <w:p>
      <w:r>
        <w:t>- His range the able.</w:t>
      </w:r>
    </w:p>
    <w:p>
      <w:r>
        <w:t>- Former example capital project agent think.</w:t>
      </w:r>
    </w:p>
    <w:p>
      <w:r>
        <w:t>[1] Margaret Edwards, Ryan-Hester (2017)</w:t>
      </w:r>
    </w:p>
    <w:p>
      <w:r>
        <w:t>Footnote: Truth force whatever past.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