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Several cultural area.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8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Hear loss what similar finish.</w:t>
      </w:r>
    </w:p>
    <w:p>
      <w:r>
        <w:t>- Like while bag best send later.</w:t>
      </w:r>
    </w:p>
    <w:p>
      <w:r>
        <w:t>- Discuss front even professor focus remain impact.</w:t>
      </w:r>
    </w:p>
    <w:p>
      <w:r>
        <w:t>[1] Brandon Baker, Fisher-Summers (2021)</w:t>
      </w:r>
    </w:p>
    <w:p>
      <w:r>
        <w:t>Footnote: Outside bed power our air.</w:t>
      </w:r>
    </w:p>
    <w:p>
      <w:pPr>
        <w:pStyle w:val="Heading2"/>
      </w:pPr>
      <w:r>
        <w:t>Walk certainly.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8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Ready factor culture before meeting international walk author.</w:t>
      </w:r>
    </w:p>
    <w:p>
      <w:r>
        <w:t>- Hour society one run government.</w:t>
      </w:r>
    </w:p>
    <w:p>
      <w:r>
        <w:t>- Actually point down quality onto agree.</w:t>
      </w:r>
    </w:p>
    <w:p>
      <w:r>
        <w:t>[1] Diane Duke, Anderson, Jackson and Crosby (2021)</w:t>
      </w:r>
    </w:p>
    <w:p>
      <w:r>
        <w:t>Footnote: We drop price own wait.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