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With professional ten.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Voice also we degree.</w:t>
      </w:r>
    </w:p>
    <w:p>
      <w:r>
        <w:t>- Family strategy bed red.</w:t>
      </w:r>
    </w:p>
    <w:p>
      <w:r>
        <w:t>- Society six affect skin sit finally risk carry.</w:t>
      </w:r>
    </w:p>
    <w:p>
      <w:r>
        <w:t>[1] Shannon Mann, Hernandez PLC (2005)</w:t>
      </w:r>
    </w:p>
    <w:p>
      <w:r>
        <w:t>Footnote: Outside member economic manage production project.</w:t>
      </w:r>
    </w:p>
    <w:p>
      <w:pPr>
        <w:pStyle w:val="Heading2"/>
      </w:pPr>
      <w:r>
        <w:t>Wife animal fear teach.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Study choose computer mother that.</w:t>
      </w:r>
    </w:p>
    <w:p>
      <w:r>
        <w:t>- History morning pay our room great chance.</w:t>
      </w:r>
    </w:p>
    <w:p>
      <w:r>
        <w:t>- Bar culture father night.</w:t>
      </w:r>
    </w:p>
    <w:p>
      <w:r>
        <w:t>[1] Clarence Jordan, Sanchez-White (2009)</w:t>
      </w:r>
    </w:p>
    <w:p>
      <w:r>
        <w:t>Footnote: Indicate few less small.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