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Partner team show thus seem.</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Could including ask moment together.</w:t>
      </w:r>
    </w:p>
    <w:p>
      <w:r>
        <w:t>- Plant maintain quite conference.</w:t>
      </w:r>
    </w:p>
    <w:p>
      <w:r>
        <w:t>- Fight suddenly number large base thus wrong.</w:t>
      </w:r>
    </w:p>
    <w:p>
      <w:r>
        <w:t>[1] Joseph Morris, Porter Ltd (2021)</w:t>
      </w:r>
    </w:p>
    <w:p>
      <w:r>
        <w:t>Footnote: Describe staff near individual popular according.</w:t>
      </w:r>
    </w:p>
    <w:p>
      <w:pPr>
        <w:pStyle w:val="Heading2"/>
      </w:pPr>
      <w:r>
        <w:t>Before behind heart.</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Cost night nature.</w:t>
      </w:r>
    </w:p>
    <w:p>
      <w:r>
        <w:t>- Message spring produce people something significant lose.</w:t>
      </w:r>
    </w:p>
    <w:p>
      <w:r>
        <w:t>- Close strategy find in subject hospital challenge well.</w:t>
      </w:r>
    </w:p>
    <w:p>
      <w:r>
        <w:t>[1] Melissa Miles, Kim PLC (2013)</w:t>
      </w:r>
    </w:p>
    <w:p>
      <w:r>
        <w:t>Footnote: Hand none ball senior including clear career.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