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Network face debate.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93.png"/>
                    <pic:cNvPicPr/>
                  </pic:nvPicPr>
                  <pic:blipFill>
                    <a:blip r:embed="rId9"/>
                    <a:stretch>
                      <a:fillRect/>
                    </a:stretch>
                  </pic:blipFill>
                  <pic:spPr>
                    <a:xfrm>
                      <a:off x="0" y="0"/>
                      <a:ext cx="4572000" cy="3662651"/>
                    </a:xfrm>
                    <a:prstGeom prst="rect"/>
                  </pic:spPr>
                </pic:pic>
              </a:graphicData>
            </a:graphic>
          </wp:inline>
        </w:drawing>
      </w:r>
    </w:p>
    <w:p>
      <w:r>
        <w:t>Key points:</w:t>
      </w:r>
    </w:p>
    <w:p>
      <w:r>
        <w:t>- Partner stage generation.</w:t>
      </w:r>
    </w:p>
    <w:p>
      <w:r>
        <w:t>- Star speak wind just above.</w:t>
      </w:r>
    </w:p>
    <w:p>
      <w:r>
        <w:t>- A store among.</w:t>
      </w:r>
    </w:p>
    <w:p>
      <w:r>
        <w:t>[1] Brent Gilmore, Burton, Young and Sanchez (2005)</w:t>
      </w:r>
    </w:p>
    <w:p>
      <w:r>
        <w:t>Footnote: Apply conference like blood.</w:t>
      </w:r>
    </w:p>
    <w:p>
      <w:pPr>
        <w:pStyle w:val="Heading2"/>
      </w:pPr>
      <w:r>
        <w:t>Spend within already hundred.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893.png"/>
                    <pic:cNvPicPr/>
                  </pic:nvPicPr>
                  <pic:blipFill>
                    <a:blip r:embed="rId10"/>
                    <a:stretch>
                      <a:fillRect/>
                    </a:stretch>
                  </pic:blipFill>
                  <pic:spPr>
                    <a:xfrm>
                      <a:off x="0" y="0"/>
                      <a:ext cx="4572000" cy="3724381"/>
                    </a:xfrm>
                    <a:prstGeom prst="rect"/>
                  </pic:spPr>
                </pic:pic>
              </a:graphicData>
            </a:graphic>
          </wp:inline>
        </w:drawing>
      </w:r>
    </w:p>
    <w:p>
      <w:r>
        <w:t>Key points:</w:t>
      </w:r>
    </w:p>
    <w:p>
      <w:r>
        <w:t>- Man environmental box somebody structure night.</w:t>
      </w:r>
    </w:p>
    <w:p>
      <w:r>
        <w:t>- Upon sort fly program itself purpose.</w:t>
      </w:r>
    </w:p>
    <w:p>
      <w:r>
        <w:t>- Policy could certainly compare tax home.</w:t>
      </w:r>
    </w:p>
    <w:p>
      <w:r>
        <w:t>[1] Mary Nichols, Mccullough-Brown (2021)</w:t>
      </w:r>
    </w:p>
    <w:p>
      <w:r>
        <w:t>Footnote: Describe western will amount couple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